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67" w:rsidRPr="006D1BCB" w:rsidRDefault="00876767" w:rsidP="00DD7639">
      <w:pPr>
        <w:pStyle w:val="Lbjegyzetszveg"/>
        <w:shd w:val="clear" w:color="auto" w:fill="FFFFFF" w:themeFill="background1"/>
        <w:ind w:firstLine="708"/>
        <w:jc w:val="both"/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</w:pPr>
      <w:bookmarkStart w:id="0" w:name="_GoBack"/>
      <w:bookmarkEnd w:id="0"/>
      <w:r w:rsidRPr="006D1BCB"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  <w:t xml:space="preserve">Tisztelt </w:t>
      </w:r>
      <w:proofErr w:type="spellStart"/>
      <w:r w:rsidRPr="006D1BCB"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  <w:t>ABAKE-tagok</w:t>
      </w:r>
      <w:proofErr w:type="spellEnd"/>
      <w:r w:rsidRPr="006D1BCB"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  <w:t>!</w:t>
      </w:r>
    </w:p>
    <w:p w:rsidR="00876767" w:rsidRDefault="00876767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22"/>
          <w:szCs w:val="22"/>
          <w:lang w:eastAsia="hu-HU"/>
        </w:rPr>
      </w:pPr>
    </w:p>
    <w:p w:rsidR="00876767" w:rsidRPr="006D1BCB" w:rsidRDefault="00876767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lang w:eastAsia="hu-HU"/>
        </w:rPr>
      </w:pPr>
      <w:r w:rsidRPr="006D1BCB">
        <w:rPr>
          <w:rFonts w:ascii="Century" w:eastAsia="Times New Roman" w:hAnsi="Century" w:cs="Times New Roman"/>
          <w:lang w:eastAsia="hu-HU"/>
        </w:rPr>
        <w:t>Az adatvédelem kapcsán</w:t>
      </w:r>
      <w:r w:rsidR="00407724">
        <w:rPr>
          <w:rFonts w:ascii="Century" w:eastAsia="Times New Roman" w:hAnsi="Century" w:cs="Times New Roman"/>
          <w:lang w:eastAsia="hu-HU"/>
        </w:rPr>
        <w:t xml:space="preserve"> </w:t>
      </w:r>
      <w:r w:rsidRPr="006D1BCB">
        <w:rPr>
          <w:rFonts w:ascii="Century" w:eastAsia="Times New Roman" w:hAnsi="Century" w:cs="Times New Roman"/>
          <w:lang w:eastAsia="hu-HU"/>
        </w:rPr>
        <w:t xml:space="preserve">– egyes tagjaink kérésére </w:t>
      </w:r>
      <w:r>
        <w:rPr>
          <w:rFonts w:ascii="Century" w:eastAsia="Times New Roman" w:hAnsi="Century" w:cs="Times New Roman"/>
          <w:lang w:eastAsia="hu-HU"/>
        </w:rPr>
        <w:t>– az ABAKE Jogi Szekciója az alábbi</w:t>
      </w:r>
      <w:r w:rsidR="00407724">
        <w:rPr>
          <w:rFonts w:ascii="Century" w:eastAsia="Times New Roman" w:hAnsi="Century" w:cs="Times New Roman"/>
          <w:lang w:eastAsia="hu-HU"/>
        </w:rPr>
        <w:t xml:space="preserve"> </w:t>
      </w:r>
      <w:r>
        <w:rPr>
          <w:rFonts w:ascii="Century" w:eastAsia="Times New Roman" w:hAnsi="Century" w:cs="Times New Roman"/>
          <w:lang w:eastAsia="hu-HU"/>
        </w:rPr>
        <w:t>tárgykörökben készített</w:t>
      </w:r>
      <w:r w:rsidR="00407724">
        <w:rPr>
          <w:rFonts w:ascii="Century" w:eastAsia="Times New Roman" w:hAnsi="Century" w:cs="Times New Roman"/>
          <w:lang w:eastAsia="hu-HU"/>
        </w:rPr>
        <w:t xml:space="preserve"> </w:t>
      </w:r>
      <w:r>
        <w:rPr>
          <w:rFonts w:ascii="Century" w:eastAsia="Times New Roman" w:hAnsi="Century" w:cs="Times New Roman"/>
          <w:lang w:eastAsia="hu-HU"/>
        </w:rPr>
        <w:t xml:space="preserve">tájékoztató anyagot: </w:t>
      </w:r>
    </w:p>
    <w:p w:rsidR="00876767" w:rsidRDefault="00876767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lang w:eastAsia="hu-HU"/>
        </w:rPr>
      </w:pPr>
    </w:p>
    <w:p w:rsidR="00876767" w:rsidRDefault="00876767" w:rsidP="00101821">
      <w:pPr>
        <w:shd w:val="clear" w:color="auto" w:fill="FFFFFF" w:themeFill="background1"/>
        <w:spacing w:after="0" w:line="256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I. az elektronikai vagyonvédelmi rendszer, s ezen belül: a biztonsági kamerák</w:t>
      </w:r>
      <w:r w:rsidR="00407724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alkalmazására, igénybe vételére vonatkozó hatályos szabályok</w:t>
      </w:r>
    </w:p>
    <w:p w:rsidR="00101821" w:rsidRDefault="00101821" w:rsidP="00101821">
      <w:pPr>
        <w:shd w:val="clear" w:color="auto" w:fill="FFFFFF" w:themeFill="background1"/>
        <w:spacing w:after="0" w:line="256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101821" w:rsidRPr="006974B7" w:rsidRDefault="00101821" w:rsidP="00101821">
      <w:pPr>
        <w:spacing w:after="0" w:line="240" w:lineRule="auto"/>
        <w:ind w:left="567"/>
        <w:jc w:val="both"/>
        <w:rPr>
          <w:rFonts w:ascii="Century" w:hAnsi="Century" w:cs="Times New Roman"/>
          <w:color w:val="000000" w:themeColor="text1"/>
          <w:sz w:val="18"/>
          <w:szCs w:val="18"/>
        </w:rPr>
      </w:pPr>
      <w:r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Ezen </w:t>
      </w:r>
      <w:r w:rsidR="00876767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írás val</w:t>
      </w:r>
      <w:r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ójában </w:t>
      </w:r>
      <w:r w:rsidR="00DD7639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vagyonvédelmi törvénynek (</w:t>
      </w:r>
      <w:proofErr w:type="spellStart"/>
      <w:r w:rsidR="00DD7639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SzVMt</w:t>
      </w:r>
      <w:proofErr w:type="spellEnd"/>
      <w:r w:rsidR="00DD7639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.</w:t>
      </w:r>
      <w:proofErr w:type="gramStart"/>
      <w:r w:rsidR="00DD7639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) </w:t>
      </w:r>
      <w:r w:rsidR="00407724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</w:t>
      </w:r>
      <w:proofErr w:type="gramEnd"/>
      <w:r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biztons</w:t>
      </w:r>
      <w:r w:rsidR="00876767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ági kamerák alkalmazhatóságára vonatkozó rendelkezése</w:t>
      </w:r>
      <w:r w:rsidR="00DD7639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it </w:t>
      </w:r>
      <w:r w:rsidR="00876767"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ismerteti. Azért célszerű e szabályokat ismernünk,</w:t>
      </w:r>
      <w:r w:rsidRPr="006974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mert </w:t>
      </w:r>
      <w:r w:rsidRPr="006974B7">
        <w:rPr>
          <w:rFonts w:ascii="Century" w:hAnsi="Century" w:cs="Times New Roman"/>
          <w:color w:val="000000" w:themeColor="text1"/>
          <w:sz w:val="18"/>
          <w:szCs w:val="18"/>
        </w:rPr>
        <w:t xml:space="preserve">az </w:t>
      </w:r>
      <w:proofErr w:type="spellStart"/>
      <w:r w:rsidRPr="006974B7">
        <w:rPr>
          <w:rFonts w:ascii="Century" w:hAnsi="Century" w:cs="Times New Roman"/>
          <w:color w:val="000000" w:themeColor="text1"/>
          <w:sz w:val="18"/>
          <w:szCs w:val="18"/>
        </w:rPr>
        <w:t>SzVMt.-nek</w:t>
      </w:r>
      <w:proofErr w:type="spellEnd"/>
      <w:r w:rsidRPr="006974B7">
        <w:rPr>
          <w:rFonts w:ascii="Century" w:hAnsi="Century" w:cs="Times New Roman"/>
          <w:color w:val="000000" w:themeColor="text1"/>
          <w:sz w:val="18"/>
          <w:szCs w:val="18"/>
        </w:rPr>
        <w:t xml:space="preserve"> a magánbiztonsági tevékenység végzésére vonatkozó rendelkezéseit a nem magánbiztonsági vállalkozásokra, személyekre</w:t>
      </w:r>
      <w:r w:rsidR="00407724" w:rsidRPr="006974B7">
        <w:rPr>
          <w:rFonts w:ascii="Century" w:hAnsi="Century" w:cs="Times New Roman"/>
          <w:color w:val="000000" w:themeColor="text1"/>
          <w:sz w:val="18"/>
          <w:szCs w:val="18"/>
        </w:rPr>
        <w:t xml:space="preserve"> </w:t>
      </w:r>
      <w:r w:rsidRPr="006974B7">
        <w:rPr>
          <w:rFonts w:ascii="Century" w:hAnsi="Century" w:cs="Times New Roman"/>
          <w:color w:val="000000" w:themeColor="text1"/>
          <w:sz w:val="18"/>
          <w:szCs w:val="18"/>
        </w:rPr>
        <w:t>is egyaránt</w:t>
      </w:r>
      <w:r w:rsidR="00407724" w:rsidRPr="006974B7">
        <w:rPr>
          <w:rFonts w:ascii="Century" w:hAnsi="Century" w:cs="Times New Roman"/>
          <w:color w:val="000000" w:themeColor="text1"/>
          <w:sz w:val="18"/>
          <w:szCs w:val="18"/>
        </w:rPr>
        <w:t xml:space="preserve"> </w:t>
      </w:r>
      <w:r w:rsidRPr="006974B7">
        <w:rPr>
          <w:rFonts w:ascii="Century" w:hAnsi="Century" w:cs="Times New Roman"/>
          <w:i/>
          <w:color w:val="000000" w:themeColor="text1"/>
          <w:sz w:val="18"/>
          <w:szCs w:val="18"/>
          <w:u w:val="single"/>
        </w:rPr>
        <w:t>kiterjeszti.</w:t>
      </w:r>
    </w:p>
    <w:p w:rsidR="00876767" w:rsidRDefault="00876767" w:rsidP="00101821">
      <w:pPr>
        <w:shd w:val="clear" w:color="auto" w:fill="FFFFFF" w:themeFill="background1"/>
        <w:spacing w:after="0" w:line="256" w:lineRule="auto"/>
        <w:ind w:left="567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101821" w:rsidRDefault="00876767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6"/>
          <w:szCs w:val="16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II. a képileg/hangilag rögzített személyes adatok kezelésének időtényezői </w:t>
      </w:r>
      <w:r>
        <w:rPr>
          <w:rFonts w:ascii="Century" w:eastAsia="Times New Roman" w:hAnsi="Century" w:cs="Times New Roman"/>
          <w:sz w:val="16"/>
          <w:szCs w:val="16"/>
          <w:lang w:eastAsia="hu-HU"/>
        </w:rPr>
        <w:t xml:space="preserve">(a </w:t>
      </w:r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GDPR</w:t>
      </w:r>
      <w:r w:rsidRPr="005F69D2">
        <w:rPr>
          <w:rStyle w:val="Lbjegyzet-hivatkozs"/>
          <w:rFonts w:ascii="Century" w:eastAsia="Times New Roman" w:hAnsi="Century" w:cs="Times New Roman"/>
          <w:i/>
          <w:sz w:val="18"/>
          <w:szCs w:val="18"/>
          <w:highlight w:val="yellow"/>
          <w:lang w:eastAsia="hu-HU"/>
        </w:rPr>
        <w:footnoteReference w:id="1"/>
      </w:r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 </w:t>
      </w:r>
      <w:r>
        <w:rPr>
          <w:rFonts w:ascii="Century" w:eastAsia="Times New Roman" w:hAnsi="Century" w:cs="Times New Roman"/>
          <w:sz w:val="16"/>
          <w:szCs w:val="16"/>
          <w:lang w:eastAsia="hu-HU"/>
        </w:rPr>
        <w:t>az annak követelményeit tükröző</w:t>
      </w:r>
      <w:r w:rsidR="00407724">
        <w:rPr>
          <w:rFonts w:ascii="Century" w:eastAsia="Times New Roman" w:hAnsi="Century" w:cs="Times New Roman"/>
          <w:sz w:val="16"/>
          <w:szCs w:val="16"/>
          <w:lang w:eastAsia="hu-HU"/>
        </w:rPr>
        <w:t xml:space="preserve"> </w:t>
      </w:r>
      <w:proofErr w:type="spellStart"/>
      <w:r>
        <w:rPr>
          <w:rFonts w:ascii="Century" w:eastAsia="Times New Roman" w:hAnsi="Century" w:cs="Times New Roman"/>
          <w:sz w:val="16"/>
          <w:szCs w:val="16"/>
          <w:lang w:eastAsia="hu-HU"/>
        </w:rPr>
        <w:t>Infotv</w:t>
      </w:r>
      <w:proofErr w:type="spellEnd"/>
      <w:r>
        <w:rPr>
          <w:rFonts w:ascii="Century" w:eastAsia="Times New Roman" w:hAnsi="Century" w:cs="Times New Roman"/>
          <w:sz w:val="16"/>
          <w:szCs w:val="16"/>
          <w:lang w:eastAsia="hu-HU"/>
        </w:rPr>
        <w:t>.</w:t>
      </w:r>
      <w:r w:rsidRPr="006D1BCB">
        <w:rPr>
          <w:rStyle w:val="Lbjegyzet-hivatkozs"/>
          <w:rFonts w:ascii="Century" w:hAnsi="Century" w:cs="Times New Roman"/>
          <w:bCs/>
          <w:i/>
          <w:color w:val="000000"/>
          <w:highlight w:val="yellow"/>
        </w:rPr>
        <w:footnoteReference w:id="2"/>
      </w:r>
      <w:r>
        <w:rPr>
          <w:rFonts w:ascii="Century" w:eastAsia="Times New Roman" w:hAnsi="Century" w:cs="Times New Roman"/>
          <w:sz w:val="16"/>
          <w:szCs w:val="16"/>
          <w:lang w:eastAsia="hu-HU"/>
        </w:rPr>
        <w:t xml:space="preserve"> </w:t>
      </w:r>
      <w:proofErr w:type="spellStart"/>
      <w:r>
        <w:rPr>
          <w:rFonts w:ascii="Century" w:eastAsia="Times New Roman" w:hAnsi="Century" w:cs="Times New Roman"/>
          <w:sz w:val="16"/>
          <w:szCs w:val="16"/>
          <w:lang w:eastAsia="hu-HU"/>
        </w:rPr>
        <w:t>rrendelkezéseinek</w:t>
      </w:r>
      <w:proofErr w:type="spellEnd"/>
      <w:r>
        <w:rPr>
          <w:rFonts w:ascii="Century" w:eastAsia="Times New Roman" w:hAnsi="Century" w:cs="Times New Roman"/>
          <w:sz w:val="16"/>
          <w:szCs w:val="16"/>
          <w:lang w:eastAsia="hu-HU"/>
        </w:rPr>
        <w:t xml:space="preserve"> megfelelően) </w:t>
      </w:r>
    </w:p>
    <w:p w:rsidR="00876767" w:rsidRDefault="00876767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</w:p>
    <w:p w:rsidR="00101821" w:rsidRPr="00101821" w:rsidRDefault="00101821" w:rsidP="00101821">
      <w:pPr>
        <w:pStyle w:val="Default"/>
        <w:ind w:left="567"/>
        <w:jc w:val="both"/>
        <w:rPr>
          <w:rFonts w:ascii="Century" w:hAnsi="Century"/>
          <w:color w:val="000000" w:themeColor="text1"/>
          <w:sz w:val="18"/>
          <w:szCs w:val="18"/>
        </w:rPr>
      </w:pPr>
      <w:proofErr w:type="gramStart"/>
      <w:r w:rsidRPr="00101821">
        <w:rPr>
          <w:rFonts w:ascii="Century" w:hAnsi="Century" w:cs="Times New Roman"/>
          <w:bCs/>
          <w:sz w:val="18"/>
          <w:szCs w:val="18"/>
        </w:rPr>
        <w:t>Ezen írásunkban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proofErr w:type="spellStart"/>
      <w:r w:rsidRPr="00101821">
        <w:rPr>
          <w:rFonts w:ascii="Century" w:hAnsi="Century" w:cs="Times New Roman"/>
          <w:bCs/>
          <w:sz w:val="18"/>
          <w:szCs w:val="18"/>
        </w:rPr>
        <w:t>-az</w:t>
      </w:r>
      <w:proofErr w:type="spellEnd"/>
      <w:r w:rsidRPr="00101821">
        <w:rPr>
          <w:rFonts w:ascii="Century" w:hAnsi="Century" w:cs="Times New Roman"/>
          <w:bCs/>
          <w:sz w:val="18"/>
          <w:szCs w:val="18"/>
        </w:rPr>
        <w:t xml:space="preserve"> adatkezelés határozott időtartamát nélkülöző, s az adatkezelést legfeljebb célszerűség, szükségszerűség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sz w:val="18"/>
          <w:szCs w:val="18"/>
        </w:rPr>
        <w:t>által indokolt tartamig terjedő kezelhetőségét elismerő adatvédelmi-jogi rendelkezésre tekintettel, illetve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sz w:val="18"/>
          <w:szCs w:val="18"/>
        </w:rPr>
        <w:t>az a</w:t>
      </w:r>
      <w:r w:rsidRPr="00101821">
        <w:rPr>
          <w:rFonts w:ascii="Century" w:hAnsi="Century" w:cs="Times New Roman"/>
          <w:bCs/>
          <w:color w:val="auto"/>
          <w:sz w:val="18"/>
          <w:szCs w:val="18"/>
        </w:rPr>
        <w:t>datkezelőt/adatfeldolgozót terhelő</w:t>
      </w:r>
      <w:r w:rsidR="00407724">
        <w:rPr>
          <w:rFonts w:ascii="Century" w:hAnsi="Century" w:cs="Times New Roman"/>
          <w:bCs/>
          <w:color w:val="auto"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color w:val="auto"/>
          <w:sz w:val="18"/>
          <w:szCs w:val="18"/>
        </w:rPr>
        <w:t>bizonyítási kötelezettség</w:t>
      </w:r>
      <w:r w:rsidRPr="00101821">
        <w:rPr>
          <w:rFonts w:ascii="Century" w:hAnsi="Century" w:cs="Times New Roman"/>
          <w:bCs/>
          <w:sz w:val="18"/>
          <w:szCs w:val="18"/>
        </w:rPr>
        <w:t>re vonatkozó szabály ismeretében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sz w:val="18"/>
          <w:szCs w:val="18"/>
        </w:rPr>
        <w:t>- arra biztatjuk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sz w:val="18"/>
          <w:szCs w:val="18"/>
        </w:rPr>
        <w:t>a munkaterületeiken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sz w:val="18"/>
          <w:szCs w:val="18"/>
        </w:rPr>
        <w:t>technikai megfigyelést folytató vállalkozásokat, hogy a rögzített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 w:cs="Times New Roman"/>
          <w:bCs/>
          <w:sz w:val="18"/>
          <w:szCs w:val="18"/>
        </w:rPr>
        <w:t xml:space="preserve">képi és/vagy hangi anyagot </w:t>
      </w:r>
      <w:r w:rsidRPr="00101821">
        <w:rPr>
          <w:rFonts w:ascii="Century" w:hAnsi="Century" w:cs="Times New Roman"/>
          <w:bCs/>
          <w:sz w:val="18"/>
          <w:szCs w:val="18"/>
          <w:u w:val="single"/>
        </w:rPr>
        <w:t>legfeljebb az ésszerűség határain belül kezeljék</w:t>
      </w:r>
      <w:r w:rsidRPr="00101821">
        <w:rPr>
          <w:rFonts w:ascii="Century" w:hAnsi="Century" w:cs="Times New Roman"/>
          <w:bCs/>
          <w:sz w:val="18"/>
          <w:szCs w:val="18"/>
        </w:rPr>
        <w:t xml:space="preserve"> </w:t>
      </w:r>
      <w:r w:rsidR="00407724">
        <w:rPr>
          <w:rFonts w:ascii="Century" w:hAnsi="Century" w:cs="Times New Roman"/>
          <w:bCs/>
          <w:sz w:val="18"/>
          <w:szCs w:val="18"/>
        </w:rPr>
        <w:t>[</w:t>
      </w:r>
      <w:r w:rsidRPr="00101821">
        <w:rPr>
          <w:rFonts w:ascii="Century" w:hAnsi="Century" w:cs="Times New Roman"/>
          <w:bCs/>
          <w:sz w:val="18"/>
          <w:szCs w:val="18"/>
        </w:rPr>
        <w:t>amelynek tartamát -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a rögzített kép-, hang-, valamint kép- és hangfelvétel felhasználásának</w:t>
      </w:r>
      <w:proofErr w:type="gramEnd"/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proofErr w:type="gramStart"/>
      <w:r w:rsidRPr="00101821">
        <w:rPr>
          <w:rFonts w:ascii="Century" w:hAnsi="Century"/>
          <w:color w:val="000000" w:themeColor="text1"/>
          <w:sz w:val="18"/>
          <w:szCs w:val="18"/>
        </w:rPr>
        <w:t>hiányában</w:t>
      </w:r>
      <w:proofErr w:type="gramEnd"/>
      <w:r w:rsidRPr="00101821">
        <w:rPr>
          <w:rFonts w:ascii="Century" w:hAnsi="Century"/>
          <w:color w:val="000000" w:themeColor="text1"/>
          <w:sz w:val="18"/>
          <w:szCs w:val="18"/>
        </w:rPr>
        <w:t xml:space="preserve"> (mert hát más ötletünk nincs! -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 xml:space="preserve">továbbra is </w:t>
      </w:r>
      <w:r w:rsidRPr="00101821">
        <w:rPr>
          <w:rFonts w:ascii="Century" w:hAnsi="Century" w:cs="Times New Roman"/>
          <w:bCs/>
          <w:sz w:val="18"/>
          <w:szCs w:val="18"/>
        </w:rPr>
        <w:t>a</w:t>
      </w:r>
      <w:r w:rsidRPr="00101821">
        <w:rPr>
          <w:rFonts w:ascii="Century" w:hAnsi="Century"/>
          <w:bCs/>
          <w:color w:val="000000" w:themeColor="text1"/>
          <w:sz w:val="18"/>
          <w:szCs w:val="18"/>
        </w:rPr>
        <w:t xml:space="preserve">z </w:t>
      </w:r>
      <w:proofErr w:type="spellStart"/>
      <w:r w:rsidRPr="00101821">
        <w:rPr>
          <w:rFonts w:ascii="Century" w:hAnsi="Century"/>
          <w:bCs/>
          <w:color w:val="000000" w:themeColor="text1"/>
          <w:sz w:val="18"/>
          <w:szCs w:val="18"/>
        </w:rPr>
        <w:t>SzVMt</w:t>
      </w:r>
      <w:proofErr w:type="spellEnd"/>
      <w:r w:rsidRPr="00101821">
        <w:rPr>
          <w:rFonts w:ascii="Century" w:hAnsi="Century"/>
          <w:bCs/>
          <w:color w:val="000000" w:themeColor="text1"/>
          <w:sz w:val="18"/>
          <w:szCs w:val="18"/>
        </w:rPr>
        <w:t>. azóta már hatályon kívül helyezett</w:t>
      </w:r>
      <w:r w:rsidR="00407724">
        <w:rPr>
          <w:rFonts w:ascii="Century" w:hAnsi="Century"/>
          <w:bCs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bCs/>
          <w:color w:val="000000" w:themeColor="text1"/>
          <w:sz w:val="18"/>
          <w:szCs w:val="18"/>
        </w:rPr>
        <w:t>31. §</w:t>
      </w:r>
      <w:proofErr w:type="spellStart"/>
      <w:r w:rsidRPr="00101821">
        <w:rPr>
          <w:rFonts w:ascii="Century" w:hAnsi="Century"/>
          <w:bCs/>
          <w:color w:val="000000" w:themeColor="text1"/>
          <w:sz w:val="18"/>
          <w:szCs w:val="18"/>
        </w:rPr>
        <w:t>-ának</w:t>
      </w:r>
      <w:proofErr w:type="spellEnd"/>
      <w:r w:rsidRPr="00101821">
        <w:rPr>
          <w:rFonts w:ascii="Century" w:hAnsi="Century"/>
          <w:bCs/>
          <w:color w:val="000000" w:themeColor="text1"/>
          <w:sz w:val="18"/>
          <w:szCs w:val="18"/>
        </w:rPr>
        <w:t xml:space="preserve"> (2) bekezdésében egykor megjelenített,</w:t>
      </w:r>
      <w:r w:rsidR="00407724">
        <w:rPr>
          <w:rFonts w:ascii="Century" w:hAnsi="Century"/>
          <w:bCs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bCs/>
          <w:color w:val="000000" w:themeColor="text1"/>
          <w:sz w:val="18"/>
          <w:szCs w:val="18"/>
        </w:rPr>
        <w:t>a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rögzítéstől számított a három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munkanapban célszerű meghatározni</w:t>
      </w:r>
      <w:r w:rsidR="00407724">
        <w:rPr>
          <w:rFonts w:ascii="Century" w:hAnsi="Century"/>
          <w:color w:val="000000" w:themeColor="text1"/>
          <w:sz w:val="18"/>
          <w:szCs w:val="18"/>
        </w:rPr>
        <w:t>!]</w:t>
      </w:r>
      <w:r w:rsidRPr="00101821">
        <w:rPr>
          <w:rFonts w:ascii="Century" w:hAnsi="Century"/>
          <w:color w:val="000000" w:themeColor="text1"/>
          <w:sz w:val="18"/>
          <w:szCs w:val="18"/>
        </w:rPr>
        <w:t>.</w:t>
      </w:r>
      <w:r w:rsidR="00407724">
        <w:rPr>
          <w:rFonts w:ascii="Century" w:hAnsi="Century"/>
          <w:i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 xml:space="preserve">E három munkanapon túli adatkezelés célszerűségét, szükségességét, s ekként: annak jogszerűségét ugyanis </w:t>
      </w:r>
      <w:r w:rsidRPr="00101821">
        <w:rPr>
          <w:rFonts w:ascii="Century" w:hAnsi="Century" w:cs="Times New Roman"/>
          <w:bCs/>
          <w:sz w:val="18"/>
          <w:szCs w:val="18"/>
        </w:rPr>
        <w:t>– persze</w:t>
      </w:r>
      <w:r w:rsidR="00407724">
        <w:rPr>
          <w:rFonts w:ascii="Century" w:hAnsi="Century" w:cs="Times New Roman"/>
          <w:bCs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a rögzített kép-, hang-, valamint kép- és hangfelvétel felhasználásának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hiányában -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az adatokat kezelő vállalkozás aligha lesz/lenne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 w:rsidRPr="00101821">
        <w:rPr>
          <w:rFonts w:ascii="Century" w:hAnsi="Century"/>
          <w:color w:val="000000" w:themeColor="text1"/>
          <w:sz w:val="18"/>
          <w:szCs w:val="18"/>
        </w:rPr>
        <w:t>képes bizonyítani a NAIH esetleges eljárása során.</w:t>
      </w:r>
    </w:p>
    <w:p w:rsidR="00101821" w:rsidRDefault="00101821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</w:p>
    <w:p w:rsidR="00876767" w:rsidRDefault="00876767" w:rsidP="00101821">
      <w:pPr>
        <w:pStyle w:val="Default"/>
        <w:shd w:val="clear" w:color="auto" w:fill="FFFFFF" w:themeFill="background1"/>
        <w:jc w:val="both"/>
        <w:rPr>
          <w:rFonts w:ascii="Century" w:hAnsi="Century"/>
          <w:color w:val="000000" w:themeColor="text1"/>
          <w:sz w:val="18"/>
          <w:szCs w:val="18"/>
        </w:rPr>
      </w:pPr>
      <w:r>
        <w:rPr>
          <w:rFonts w:ascii="Century" w:hAnsi="Century"/>
          <w:color w:val="000000" w:themeColor="text1"/>
          <w:sz w:val="18"/>
          <w:szCs w:val="18"/>
        </w:rPr>
        <w:t xml:space="preserve">III. A megfigyelő kamerák irányultságának, elhelyezésének problematikája; </w:t>
      </w:r>
    </w:p>
    <w:p w:rsidR="00101821" w:rsidRDefault="00101821" w:rsidP="00101821">
      <w:pPr>
        <w:pStyle w:val="Default"/>
        <w:shd w:val="clear" w:color="auto" w:fill="FFFFFF" w:themeFill="background1"/>
        <w:jc w:val="both"/>
        <w:rPr>
          <w:rFonts w:ascii="Century" w:hAnsi="Century"/>
          <w:color w:val="000000" w:themeColor="text1"/>
          <w:sz w:val="18"/>
          <w:szCs w:val="18"/>
        </w:rPr>
      </w:pPr>
    </w:p>
    <w:p w:rsidR="00101821" w:rsidRDefault="00101821" w:rsidP="00407724">
      <w:pPr>
        <w:pStyle w:val="Default"/>
        <w:shd w:val="clear" w:color="auto" w:fill="FFFFFF" w:themeFill="background1"/>
        <w:ind w:left="567"/>
        <w:jc w:val="both"/>
        <w:rPr>
          <w:rFonts w:ascii="Century" w:hAnsi="Century"/>
          <w:color w:val="000000" w:themeColor="text1"/>
          <w:sz w:val="18"/>
          <w:szCs w:val="18"/>
        </w:rPr>
      </w:pPr>
      <w:r>
        <w:rPr>
          <w:rFonts w:ascii="Century" w:hAnsi="Century"/>
          <w:color w:val="000000" w:themeColor="text1"/>
          <w:sz w:val="18"/>
          <w:szCs w:val="18"/>
        </w:rPr>
        <w:t>E tanulmány arra mutat rá, hogy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>
        <w:rPr>
          <w:rFonts w:ascii="Century" w:hAnsi="Century"/>
          <w:color w:val="000000" w:themeColor="text1"/>
          <w:sz w:val="18"/>
          <w:szCs w:val="18"/>
        </w:rPr>
        <w:t>a vállalkozás</w:t>
      </w:r>
      <w:r w:rsidR="00407724">
        <w:rPr>
          <w:rFonts w:ascii="Century" w:hAnsi="Century"/>
          <w:color w:val="000000" w:themeColor="text1"/>
          <w:sz w:val="18"/>
          <w:szCs w:val="18"/>
        </w:rPr>
        <w:t xml:space="preserve"> </w:t>
      </w:r>
      <w:r>
        <w:rPr>
          <w:rFonts w:ascii="Century" w:hAnsi="Century"/>
          <w:color w:val="000000" w:themeColor="text1"/>
          <w:sz w:val="18"/>
          <w:szCs w:val="18"/>
        </w:rPr>
        <w:t xml:space="preserve">miképpen </w:t>
      </w:r>
      <w:r w:rsidR="00407724">
        <w:rPr>
          <w:rFonts w:ascii="Century" w:hAnsi="Century"/>
          <w:color w:val="000000" w:themeColor="text1"/>
          <w:sz w:val="18"/>
          <w:szCs w:val="18"/>
        </w:rPr>
        <w:t>figyelheti a közterülettel határos bejáratait a közterület légterében felszerelt kameráival. A látómezőben egyáltalán megjelenhetnek-e a közterület részei, s ha igen, miképpen?</w:t>
      </w:r>
    </w:p>
    <w:p w:rsidR="00101821" w:rsidRDefault="00101821" w:rsidP="00101821">
      <w:pPr>
        <w:pStyle w:val="Default"/>
        <w:shd w:val="clear" w:color="auto" w:fill="FFFFFF" w:themeFill="background1"/>
        <w:jc w:val="both"/>
        <w:rPr>
          <w:rFonts w:ascii="Century" w:hAnsi="Century"/>
          <w:color w:val="000000" w:themeColor="text1"/>
          <w:sz w:val="18"/>
          <w:szCs w:val="18"/>
        </w:rPr>
      </w:pPr>
    </w:p>
    <w:p w:rsidR="00876767" w:rsidRDefault="00876767" w:rsidP="00101821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>I</w:t>
      </w:r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>V.</w:t>
      </w:r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 a</w:t>
      </w:r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GDPR</w:t>
      </w:r>
      <w:r w:rsidRPr="005F69D2">
        <w:rPr>
          <w:rStyle w:val="Lbjegyzet-hivatkozs"/>
          <w:rFonts w:ascii="Century" w:eastAsia="Times New Roman" w:hAnsi="Century" w:cs="Times New Roman"/>
          <w:i/>
          <w:sz w:val="18"/>
          <w:szCs w:val="18"/>
          <w:highlight w:val="yellow"/>
          <w:lang w:eastAsia="hu-HU"/>
        </w:rPr>
        <w:footnoteReference w:id="3"/>
      </w:r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 </w:t>
      </w:r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és az </w:t>
      </w:r>
      <w:proofErr w:type="spellStart"/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Infotv</w:t>
      </w:r>
      <w:proofErr w:type="spellEnd"/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. </w:t>
      </w:r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együttléte, egymásmellettiségének problematikája, illetve az </w:t>
      </w:r>
      <w:proofErr w:type="spellStart"/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Infotv</w:t>
      </w:r>
      <w:proofErr w:type="spellEnd"/>
      <w:r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.</w:t>
      </w:r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hatálya (hogy ti. </w:t>
      </w:r>
      <w:proofErr w:type="gramStart"/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>mikor</w:t>
      </w:r>
      <w:proofErr w:type="gramEnd"/>
      <w:r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és mely jogszabályt alkalmazzuk, alkalmazhatjuk) </w:t>
      </w:r>
    </w:p>
    <w:p w:rsidR="00407724" w:rsidRPr="00671A33" w:rsidRDefault="00407724" w:rsidP="00407724">
      <w:pPr>
        <w:pStyle w:val="Lbjegyzetszveg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07724" w:rsidRPr="00407724" w:rsidRDefault="00407724" w:rsidP="00407724">
      <w:pPr>
        <w:pStyle w:val="Lbjegyzetszveg"/>
        <w:shd w:val="clear" w:color="auto" w:fill="FFFFFF" w:themeFill="background1"/>
        <w:ind w:left="567"/>
        <w:jc w:val="both"/>
        <w:rPr>
          <w:rFonts w:ascii="Century" w:hAnsi="Century" w:cs="Times New Roman"/>
          <w:bCs/>
          <w:color w:val="000000"/>
          <w:sz w:val="18"/>
          <w:szCs w:val="18"/>
        </w:rPr>
      </w:pP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A magyar jogalkotás a </w:t>
      </w:r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 xml:space="preserve">GDPR 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és a magyar </w:t>
      </w:r>
      <w:proofErr w:type="spellStart"/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Infotv</w:t>
      </w:r>
      <w:proofErr w:type="spellEnd"/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.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 egy rendkívül bonyolult, alig átlátható és értelmezhető, a jogalkalmazást, egyben a jogkövetés gyakorlatát szinte megoldhatatlan nehézségek elé </w:t>
      </w:r>
      <w:r>
        <w:rPr>
          <w:rFonts w:ascii="Century" w:hAnsi="Century" w:cs="Times New Roman"/>
          <w:bCs/>
          <w:color w:val="000000"/>
          <w:sz w:val="18"/>
          <w:szCs w:val="18"/>
        </w:rPr>
        <w:t xml:space="preserve">állító 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>viszonyrendszert” jelenít meg (amely pedig a gyakorlott jogászok számára</w:t>
      </w:r>
      <w:r>
        <w:rPr>
          <w:rFonts w:ascii="Century" w:hAnsi="Century" w:cs="Times New Roman"/>
          <w:bCs/>
          <w:color w:val="000000"/>
          <w:sz w:val="18"/>
          <w:szCs w:val="18"/>
        </w:rPr>
        <w:t xml:space="preserve"> 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>- nem kis fejtörést okozva, tetemes időt és energiát felemésztve – ugyan kibogozható, ámde az egyszerű halandók számára e törekvés eleve reménytelennek tűnik!).</w:t>
      </w:r>
    </w:p>
    <w:p w:rsidR="00407724" w:rsidRPr="00407724" w:rsidRDefault="00407724" w:rsidP="00407724">
      <w:pPr>
        <w:pStyle w:val="Lbjegyzetszveg"/>
        <w:shd w:val="clear" w:color="auto" w:fill="FFFFFF" w:themeFill="background1"/>
        <w:ind w:left="567"/>
        <w:jc w:val="both"/>
        <w:rPr>
          <w:rFonts w:ascii="Century" w:hAnsi="Century" w:cs="Times New Roman"/>
          <w:bCs/>
          <w:color w:val="000000"/>
          <w:sz w:val="18"/>
          <w:szCs w:val="18"/>
        </w:rPr>
      </w:pP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Mindennek okán az adatvédelmi-jogi követelmények érvényesítése során a két jogi forrás </w:t>
      </w:r>
      <w:proofErr w:type="gramStart"/>
      <w:r w:rsidRPr="00407724">
        <w:rPr>
          <w:rFonts w:ascii="Century" w:hAnsi="Century" w:cs="Times New Roman"/>
          <w:bCs/>
          <w:color w:val="000000"/>
          <w:sz w:val="18"/>
          <w:szCs w:val="18"/>
        </w:rPr>
        <w:t>egyidejű(</w:t>
      </w:r>
      <w:proofErr w:type="gramEnd"/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!) </w:t>
      </w:r>
      <w:proofErr w:type="gramStart"/>
      <w:r w:rsidRPr="00407724">
        <w:rPr>
          <w:rFonts w:ascii="Century" w:hAnsi="Century" w:cs="Times New Roman"/>
          <w:bCs/>
          <w:color w:val="000000"/>
          <w:sz w:val="18"/>
          <w:szCs w:val="18"/>
        </w:rPr>
        <w:t>alkalmazására</w:t>
      </w:r>
      <w:proofErr w:type="gramEnd"/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, illetve a lentiekben ismertetett szabályokra tekintettel a </w:t>
      </w:r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GDPR é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rintett szabályainak az </w:t>
      </w:r>
      <w:proofErr w:type="spellStart"/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Infotv</w:t>
      </w:r>
      <w:proofErr w:type="spellEnd"/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.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 vonatkozó szabályaiban foglaltakkal való egybevetésére kényszerülünk, mégpedig az </w:t>
      </w:r>
      <w:proofErr w:type="spellStart"/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Infotv</w:t>
      </w:r>
      <w:proofErr w:type="spellEnd"/>
      <w:r w:rsidRPr="00407724">
        <w:rPr>
          <w:rFonts w:ascii="Century" w:hAnsi="Century" w:cs="Times New Roman"/>
          <w:bCs/>
          <w:i/>
          <w:color w:val="000000"/>
          <w:sz w:val="18"/>
          <w:szCs w:val="18"/>
        </w:rPr>
        <w:t>.</w:t>
      </w:r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 2.§</w:t>
      </w:r>
      <w:proofErr w:type="spellStart"/>
      <w:r w:rsidRPr="00407724">
        <w:rPr>
          <w:rFonts w:ascii="Century" w:hAnsi="Century" w:cs="Times New Roman"/>
          <w:bCs/>
          <w:color w:val="000000"/>
          <w:sz w:val="18"/>
          <w:szCs w:val="18"/>
        </w:rPr>
        <w:t>-ában</w:t>
      </w:r>
      <w:proofErr w:type="spellEnd"/>
      <w:r w:rsidRPr="00407724">
        <w:rPr>
          <w:rFonts w:ascii="Century" w:hAnsi="Century" w:cs="Times New Roman"/>
          <w:bCs/>
          <w:color w:val="000000"/>
          <w:sz w:val="18"/>
          <w:szCs w:val="18"/>
        </w:rPr>
        <w:t xml:space="preserve"> írott, alig-alig átlátható, követhető instrukcióknak megfelelően. </w:t>
      </w:r>
      <w:r w:rsidR="00DD7639">
        <w:rPr>
          <w:rFonts w:ascii="Century" w:hAnsi="Century" w:cs="Times New Roman"/>
          <w:bCs/>
          <w:color w:val="000000"/>
          <w:sz w:val="18"/>
          <w:szCs w:val="18"/>
        </w:rPr>
        <w:t xml:space="preserve">Az </w:t>
      </w:r>
      <w:proofErr w:type="gramStart"/>
      <w:r w:rsidR="00DD7639">
        <w:rPr>
          <w:rFonts w:ascii="Century" w:hAnsi="Century" w:cs="Times New Roman"/>
          <w:bCs/>
          <w:color w:val="000000"/>
          <w:sz w:val="18"/>
          <w:szCs w:val="18"/>
        </w:rPr>
        <w:t>írásunk  a</w:t>
      </w:r>
      <w:proofErr w:type="gramEnd"/>
      <w:r w:rsidR="00DD7639">
        <w:rPr>
          <w:rFonts w:ascii="Century" w:hAnsi="Century" w:cs="Times New Roman"/>
          <w:bCs/>
          <w:color w:val="000000"/>
          <w:sz w:val="18"/>
          <w:szCs w:val="18"/>
        </w:rPr>
        <w:t xml:space="preserve"> két jogforrás </w:t>
      </w:r>
      <w:proofErr w:type="gramStart"/>
      <w:r w:rsidR="00DD7639">
        <w:rPr>
          <w:rFonts w:ascii="Century" w:hAnsi="Century" w:cs="Times New Roman"/>
          <w:bCs/>
          <w:color w:val="000000"/>
          <w:sz w:val="18"/>
          <w:szCs w:val="18"/>
        </w:rPr>
        <w:t>egyidejű</w:t>
      </w:r>
      <w:proofErr w:type="gramEnd"/>
      <w:r w:rsidR="00DD7639">
        <w:rPr>
          <w:rFonts w:ascii="Century" w:hAnsi="Century" w:cs="Times New Roman"/>
          <w:bCs/>
          <w:color w:val="000000"/>
          <w:sz w:val="18"/>
          <w:szCs w:val="18"/>
        </w:rPr>
        <w:t xml:space="preserve"> alkalmazásában nyújt némi  eligazodást!</w:t>
      </w:r>
    </w:p>
    <w:p w:rsidR="00407724" w:rsidRPr="00407724" w:rsidRDefault="00407724" w:rsidP="00407724">
      <w:pPr>
        <w:pStyle w:val="Lbjegyzetszveg"/>
        <w:shd w:val="clear" w:color="auto" w:fill="FFFFFF" w:themeFill="background1"/>
        <w:ind w:left="567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</w:p>
    <w:p w:rsidR="00876767" w:rsidRDefault="00407724" w:rsidP="00101821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>A</w:t>
      </w:r>
      <w:r w:rsidR="00DD7639">
        <w:rPr>
          <w:rFonts w:ascii="Century" w:eastAsia="Times New Roman" w:hAnsi="Century" w:cs="Times New Roman"/>
          <w:sz w:val="18"/>
          <w:szCs w:val="18"/>
          <w:lang w:eastAsia="hu-HU"/>
        </w:rPr>
        <w:t>z egyes témák iránt érdeklődő Tagjaink a részletes anyagot az ABAKE weblapjának a tagjaink által megnyitható oldalát felkeresve olvashatják el!</w:t>
      </w:r>
    </w:p>
    <w:p w:rsidR="00DD7639" w:rsidRDefault="00DD7639" w:rsidP="00101821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sz w:val="18"/>
          <w:szCs w:val="18"/>
          <w:lang w:eastAsia="hu-HU"/>
        </w:rPr>
      </w:pPr>
    </w:p>
    <w:p w:rsidR="00DD7639" w:rsidRDefault="00DD7639" w:rsidP="00DD7639">
      <w:pPr>
        <w:pStyle w:val="Lbjegyzetszveg"/>
        <w:shd w:val="clear" w:color="auto" w:fill="FFFFFF" w:themeFill="background1"/>
        <w:ind w:firstLine="708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>2019.09.23.</w:t>
      </w:r>
    </w:p>
    <w:p w:rsidR="00DD7639" w:rsidRDefault="00DD7639" w:rsidP="00101821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sz w:val="18"/>
          <w:szCs w:val="18"/>
          <w:lang w:eastAsia="hu-HU"/>
        </w:rPr>
      </w:pPr>
    </w:p>
    <w:p w:rsidR="00742EBD" w:rsidRPr="00DD7639" w:rsidRDefault="00DD7639" w:rsidP="00DD7639">
      <w:pPr>
        <w:pStyle w:val="Lbjegyzetszveg"/>
        <w:shd w:val="clear" w:color="auto" w:fill="FFFFFF" w:themeFill="background1"/>
        <w:ind w:left="4956" w:firstLine="708"/>
        <w:rPr>
          <w:rFonts w:ascii="Century" w:eastAsia="Times New Roman" w:hAnsi="Century" w:cs="Times New Roman"/>
          <w:b/>
          <w:i/>
          <w:color w:val="00B050"/>
          <w:sz w:val="16"/>
          <w:szCs w:val="16"/>
          <w:lang w:eastAsia="hu-HU"/>
        </w:rPr>
      </w:pPr>
      <w:r w:rsidRPr="00DD7639">
        <w:rPr>
          <w:rFonts w:ascii="Century" w:eastAsia="Times New Roman" w:hAnsi="Century" w:cs="Times New Roman"/>
          <w:b/>
          <w:sz w:val="18"/>
          <w:szCs w:val="18"/>
          <w:lang w:eastAsia="hu-HU"/>
        </w:rPr>
        <w:t>Elnökség</w:t>
      </w:r>
    </w:p>
    <w:sectPr w:rsidR="00742EBD" w:rsidRPr="00DD7639" w:rsidSect="00407724">
      <w:type w:val="continuous"/>
      <w:pgSz w:w="11906" w:h="16838"/>
      <w:pgMar w:top="1135" w:right="1417" w:bottom="1985" w:left="1417" w:header="709" w:footer="59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74" w:rsidRDefault="000E0174" w:rsidP="00876767">
      <w:pPr>
        <w:spacing w:after="0" w:line="240" w:lineRule="auto"/>
      </w:pPr>
      <w:r>
        <w:separator/>
      </w:r>
    </w:p>
  </w:endnote>
  <w:endnote w:type="continuationSeparator" w:id="0">
    <w:p w:rsidR="000E0174" w:rsidRDefault="000E0174" w:rsidP="0087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74" w:rsidRDefault="000E0174" w:rsidP="00876767">
      <w:pPr>
        <w:spacing w:after="0" w:line="240" w:lineRule="auto"/>
      </w:pPr>
      <w:r>
        <w:separator/>
      </w:r>
    </w:p>
  </w:footnote>
  <w:footnote w:type="continuationSeparator" w:id="0">
    <w:p w:rsidR="000E0174" w:rsidRDefault="000E0174" w:rsidP="00876767">
      <w:pPr>
        <w:spacing w:after="0" w:line="240" w:lineRule="auto"/>
      </w:pPr>
      <w:r>
        <w:continuationSeparator/>
      </w:r>
    </w:p>
  </w:footnote>
  <w:footnote w:id="1">
    <w:p w:rsidR="00876767" w:rsidRPr="00087E90" w:rsidRDefault="00876767" w:rsidP="00876767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87E90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87E90">
        <w:rPr>
          <w:rFonts w:ascii="Times New Roman" w:hAnsi="Times New Roman" w:cs="Times New Roman"/>
          <w:sz w:val="16"/>
          <w:szCs w:val="16"/>
        </w:rPr>
        <w:t xml:space="preserve"> Az </w:t>
      </w:r>
      <w:r w:rsidRPr="00087E90">
        <w:rPr>
          <w:rFonts w:ascii="Times New Roman" w:hAnsi="Times New Roman" w:cs="Times New Roman"/>
          <w:i/>
          <w:sz w:val="16"/>
          <w:szCs w:val="16"/>
        </w:rPr>
        <w:t>EURÓPAI PARLAMENT ÉS A TANÁCS (EU) 2016/679</w:t>
      </w:r>
      <w:r w:rsidRPr="00087E90">
        <w:rPr>
          <w:rFonts w:ascii="Times New Roman" w:hAnsi="Times New Roman" w:cs="Times New Roman"/>
          <w:sz w:val="16"/>
          <w:szCs w:val="16"/>
        </w:rPr>
        <w:t xml:space="preserve"> számú </w:t>
      </w:r>
      <w:r w:rsidRPr="00087E90">
        <w:rPr>
          <w:rFonts w:ascii="Times New Roman" w:hAnsi="Times New Roman" w:cs="Times New Roman"/>
          <w:i/>
          <w:sz w:val="16"/>
          <w:szCs w:val="16"/>
        </w:rPr>
        <w:t>Általános Adatvédelmi Rendelete</w:t>
      </w:r>
      <w:r w:rsidRPr="00087E90">
        <w:rPr>
          <w:rFonts w:ascii="Times New Roman" w:hAnsi="Times New Roman" w:cs="Times New Roman"/>
          <w:sz w:val="16"/>
          <w:szCs w:val="16"/>
        </w:rPr>
        <w:t xml:space="preserve"> (General Data </w:t>
      </w:r>
      <w:proofErr w:type="spellStart"/>
      <w:r w:rsidRPr="00087E90">
        <w:rPr>
          <w:rFonts w:ascii="Times New Roman" w:hAnsi="Times New Roman" w:cs="Times New Roman"/>
          <w:sz w:val="16"/>
          <w:szCs w:val="16"/>
        </w:rPr>
        <w:t>Protection</w:t>
      </w:r>
      <w:proofErr w:type="spellEnd"/>
      <w:r w:rsidRPr="00087E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7E90">
        <w:rPr>
          <w:rFonts w:ascii="Times New Roman" w:hAnsi="Times New Roman" w:cs="Times New Roman"/>
          <w:sz w:val="16"/>
          <w:szCs w:val="16"/>
        </w:rPr>
        <w:t>Regulation</w:t>
      </w:r>
      <w:proofErr w:type="spellEnd"/>
      <w:r w:rsidRPr="00087E90">
        <w:rPr>
          <w:rFonts w:ascii="Times New Roman" w:hAnsi="Times New Roman" w:cs="Times New Roman"/>
          <w:sz w:val="16"/>
          <w:szCs w:val="16"/>
        </w:rPr>
        <w:t>)</w:t>
      </w:r>
    </w:p>
  </w:footnote>
  <w:footnote w:id="2">
    <w:p w:rsidR="00876767" w:rsidRPr="00087E90" w:rsidRDefault="00876767" w:rsidP="00876767">
      <w:pPr>
        <w:pStyle w:val="Lbjegyzetszveg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87E90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87E9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Lásd </w:t>
      </w:r>
      <w:r w:rsidRPr="00087E90">
        <w:rPr>
          <w:rFonts w:ascii="Times New Roman" w:hAnsi="Times New Roman" w:cs="Times New Roman"/>
          <w:sz w:val="16"/>
          <w:szCs w:val="16"/>
        </w:rPr>
        <w:t xml:space="preserve">az információs önrendelkezési jogról és az információszabadságról szóló </w:t>
      </w:r>
      <w:r w:rsidRPr="00087E90">
        <w:rPr>
          <w:rFonts w:ascii="Times New Roman" w:hAnsi="Times New Roman" w:cs="Times New Roman"/>
          <w:bCs/>
          <w:i/>
          <w:color w:val="000000"/>
          <w:sz w:val="16"/>
          <w:szCs w:val="16"/>
        </w:rPr>
        <w:t>2011. évi CXII. törvény</w:t>
      </w:r>
      <w:r w:rsidRPr="00087E9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t! </w:t>
      </w:r>
    </w:p>
    <w:p w:rsidR="00876767" w:rsidRPr="00087E90" w:rsidRDefault="00876767" w:rsidP="00876767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</w:t>
      </w:r>
      <w:r w:rsidRPr="00087E9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GDPR </w:t>
      </w:r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életbelépését követően az </w:t>
      </w:r>
      <w:proofErr w:type="spellStart"/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>Infotv.-t</w:t>
      </w:r>
      <w:proofErr w:type="spellEnd"/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- a </w:t>
      </w:r>
      <w:r w:rsidRPr="00087E9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GDPR</w:t>
      </w:r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arcára szabandó – elsőként a </w:t>
      </w:r>
      <w:r w:rsidRPr="00087E9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2018. évi XXXVIII. törvény módosította!</w:t>
      </w:r>
    </w:p>
  </w:footnote>
  <w:footnote w:id="3">
    <w:p w:rsidR="00876767" w:rsidRPr="00087E90" w:rsidRDefault="00876767" w:rsidP="00876767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87E90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87E90">
        <w:rPr>
          <w:rFonts w:ascii="Times New Roman" w:hAnsi="Times New Roman" w:cs="Times New Roman"/>
          <w:sz w:val="16"/>
          <w:szCs w:val="16"/>
        </w:rPr>
        <w:t xml:space="preserve"> Az </w:t>
      </w:r>
      <w:r w:rsidRPr="00087E90">
        <w:rPr>
          <w:rFonts w:ascii="Times New Roman" w:hAnsi="Times New Roman" w:cs="Times New Roman"/>
          <w:i/>
          <w:sz w:val="16"/>
          <w:szCs w:val="16"/>
        </w:rPr>
        <w:t>EURÓPAI PARLAMENT ÉS A TANÁCS (EU) 2016/679</w:t>
      </w:r>
      <w:r w:rsidRPr="00087E90">
        <w:rPr>
          <w:rFonts w:ascii="Times New Roman" w:hAnsi="Times New Roman" w:cs="Times New Roman"/>
          <w:sz w:val="16"/>
          <w:szCs w:val="16"/>
        </w:rPr>
        <w:t xml:space="preserve"> számú </w:t>
      </w:r>
      <w:r w:rsidRPr="00087E90">
        <w:rPr>
          <w:rFonts w:ascii="Times New Roman" w:hAnsi="Times New Roman" w:cs="Times New Roman"/>
          <w:i/>
          <w:sz w:val="16"/>
          <w:szCs w:val="16"/>
        </w:rPr>
        <w:t>Általános Adatvédelmi Rendelete</w:t>
      </w:r>
      <w:r w:rsidRPr="00087E90">
        <w:rPr>
          <w:rFonts w:ascii="Times New Roman" w:hAnsi="Times New Roman" w:cs="Times New Roman"/>
          <w:sz w:val="16"/>
          <w:szCs w:val="16"/>
        </w:rPr>
        <w:t xml:space="preserve"> (General Data </w:t>
      </w:r>
      <w:proofErr w:type="spellStart"/>
      <w:r w:rsidRPr="00087E90">
        <w:rPr>
          <w:rFonts w:ascii="Times New Roman" w:hAnsi="Times New Roman" w:cs="Times New Roman"/>
          <w:sz w:val="16"/>
          <w:szCs w:val="16"/>
        </w:rPr>
        <w:t>Protection</w:t>
      </w:r>
      <w:proofErr w:type="spellEnd"/>
      <w:r w:rsidRPr="00087E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7E90">
        <w:rPr>
          <w:rFonts w:ascii="Times New Roman" w:hAnsi="Times New Roman" w:cs="Times New Roman"/>
          <w:sz w:val="16"/>
          <w:szCs w:val="16"/>
        </w:rPr>
        <w:t>Regulation</w:t>
      </w:r>
      <w:proofErr w:type="spellEnd"/>
      <w:r w:rsidRPr="00087E90"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7"/>
    <w:rsid w:val="000E0174"/>
    <w:rsid w:val="00101821"/>
    <w:rsid w:val="002B6BB7"/>
    <w:rsid w:val="00407724"/>
    <w:rsid w:val="006974B7"/>
    <w:rsid w:val="00742EBD"/>
    <w:rsid w:val="00876767"/>
    <w:rsid w:val="00B6661A"/>
    <w:rsid w:val="00DD7639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08A7-C59A-4FC0-9173-1C052A73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7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"/>
    <w:basedOn w:val="Norml"/>
    <w:link w:val="LbjegyzetszvegChar"/>
    <w:uiPriority w:val="99"/>
    <w:unhideWhenUsed/>
    <w:rsid w:val="0087676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rsid w:val="0087676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876767"/>
    <w:rPr>
      <w:vertAlign w:val="superscript"/>
    </w:rPr>
  </w:style>
  <w:style w:type="paragraph" w:customStyle="1" w:styleId="Default">
    <w:name w:val="Default"/>
    <w:uiPriority w:val="99"/>
    <w:rsid w:val="00876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7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Borai Ákos</dc:creator>
  <cp:keywords/>
  <dc:description/>
  <cp:lastModifiedBy>Dr. Borai Ákos</cp:lastModifiedBy>
  <cp:revision>2</cp:revision>
  <cp:lastPrinted>2019-10-07T10:37:00Z</cp:lastPrinted>
  <dcterms:created xsi:type="dcterms:W3CDTF">2019-10-07T10:53:00Z</dcterms:created>
  <dcterms:modified xsi:type="dcterms:W3CDTF">2019-10-07T10:53:00Z</dcterms:modified>
</cp:coreProperties>
</file>